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仿宋_GB2312"/>
          <w:color w:val="000000"/>
          <w:kern w:val="0"/>
          <w:sz w:val="30"/>
          <w:szCs w:val="30"/>
        </w:rPr>
      </w:pPr>
      <w:r>
        <w:rPr>
          <w:rFonts w:ascii="仿宋" w:hAnsi="仿宋" w:eastAsia="仿宋"/>
          <w:color w:val="000000"/>
          <w:kern w:val="0"/>
          <w:sz w:val="30"/>
          <w:szCs w:val="30"/>
        </w:rPr>
        <w:t>附件</w:t>
      </w:r>
      <w:r>
        <w:rPr>
          <w:rFonts w:hint="eastAsia" w:ascii="仿宋" w:hAnsi="仿宋" w:eastAsia="仿宋"/>
          <w:color w:val="000000"/>
          <w:kern w:val="0"/>
          <w:sz w:val="30"/>
          <w:szCs w:val="30"/>
        </w:rPr>
        <w:t>1</w:t>
      </w:r>
      <w:r>
        <w:rPr>
          <w:rFonts w:eastAsia="仿宋_GB2312"/>
          <w:color w:val="000000"/>
          <w:kern w:val="0"/>
          <w:sz w:val="30"/>
          <w:szCs w:val="30"/>
        </w:rPr>
        <w:t>：</w:t>
      </w:r>
    </w:p>
    <w:p>
      <w:pPr>
        <w:jc w:val="center"/>
        <w:rPr>
          <w:rFonts w:ascii="黑体" w:hAnsi="黑体" w:eastAsia="黑体"/>
          <w:b/>
          <w:sz w:val="32"/>
          <w:szCs w:val="32"/>
        </w:rPr>
      </w:pPr>
      <w:r>
        <w:rPr>
          <w:rFonts w:hint="eastAsia" w:ascii="黑体" w:hAnsi="黑体" w:eastAsia="黑体"/>
          <w:b/>
          <w:sz w:val="32"/>
          <w:szCs w:val="32"/>
        </w:rPr>
        <w:t>2020年湖北省职业技术教育学会</w:t>
      </w:r>
    </w:p>
    <w:p>
      <w:pPr>
        <w:jc w:val="center"/>
        <w:rPr>
          <w:rFonts w:ascii="黑体" w:hAnsi="黑体" w:eastAsia="黑体"/>
          <w:b/>
          <w:sz w:val="32"/>
          <w:szCs w:val="32"/>
        </w:rPr>
      </w:pPr>
      <w:r>
        <w:rPr>
          <w:rFonts w:hint="eastAsia" w:ascii="黑体" w:hAnsi="黑体" w:eastAsia="黑体"/>
          <w:b/>
          <w:sz w:val="32"/>
          <w:szCs w:val="32"/>
        </w:rPr>
        <w:t>科学研究课题指南</w:t>
      </w:r>
    </w:p>
    <w:p>
      <w:pPr>
        <w:ind w:firstLine="640" w:firstLineChars="200"/>
        <w:rPr>
          <w:rFonts w:ascii="仿宋" w:hAnsi="仿宋" w:eastAsia="仿宋"/>
          <w:sz w:val="32"/>
          <w:szCs w:val="32"/>
        </w:rPr>
      </w:pPr>
      <w:r>
        <w:rPr>
          <w:rFonts w:hint="eastAsia" w:ascii="仿宋" w:hAnsi="仿宋" w:eastAsia="仿宋"/>
          <w:sz w:val="32"/>
          <w:szCs w:val="32"/>
        </w:rPr>
        <w:t>2020年省职教学会科学研究课题立项工作，要全面贯彻党的十九大精神和习近平总书记关于教育系列重要讲话精神,坚持立德树人根本任务，全面研究职业教育人才培养各环节深层次、突出性的问题。本指南列出的内容涉及职业院校建设的大方向，不是具体的项目名称。申请人可在本指南的指导下，根据实际情况，确定具体的研究内容和申报题目。</w:t>
      </w:r>
    </w:p>
    <w:p>
      <w:pPr>
        <w:ind w:firstLine="640" w:firstLineChars="200"/>
        <w:rPr>
          <w:rFonts w:hint="eastAsia" w:ascii="仿宋_GB2312" w:eastAsia="仿宋_GB2312"/>
          <w:sz w:val="32"/>
          <w:szCs w:val="32"/>
        </w:rPr>
      </w:pPr>
      <w:r>
        <w:rPr>
          <w:rFonts w:hint="eastAsia" w:ascii="仿宋_GB2312" w:eastAsia="仿宋_GB2312"/>
          <w:sz w:val="32"/>
          <w:szCs w:val="32"/>
        </w:rPr>
        <w:t>1.“双高计划”背景下湖北省职业院校高质量发展研究；</w:t>
      </w:r>
    </w:p>
    <w:p>
      <w:pPr>
        <w:ind w:firstLine="640" w:firstLineChars="200"/>
        <w:rPr>
          <w:rFonts w:hint="eastAsia" w:ascii="仿宋_GB2312" w:eastAsia="仿宋_GB2312"/>
          <w:sz w:val="32"/>
          <w:szCs w:val="32"/>
        </w:rPr>
      </w:pPr>
      <w:r>
        <w:rPr>
          <w:rFonts w:hint="eastAsia" w:ascii="仿宋_GB2312" w:eastAsia="仿宋_GB2312"/>
          <w:sz w:val="32"/>
          <w:szCs w:val="32"/>
        </w:rPr>
        <w:t>2.湖北省职业教育人才培养模式改革与创新研究；</w:t>
      </w:r>
    </w:p>
    <w:p>
      <w:pPr>
        <w:ind w:firstLine="640" w:firstLineChars="200"/>
        <w:rPr>
          <w:rFonts w:hint="eastAsia" w:ascii="仿宋_GB2312" w:eastAsia="仿宋_GB2312"/>
          <w:sz w:val="32"/>
          <w:szCs w:val="32"/>
        </w:rPr>
      </w:pPr>
      <w:r>
        <w:rPr>
          <w:rFonts w:hint="eastAsia" w:ascii="仿宋_GB2312" w:eastAsia="仿宋_GB2312"/>
          <w:sz w:val="32"/>
          <w:szCs w:val="32"/>
        </w:rPr>
        <w:t>3.湖北省职业教育教师队伍建设与教师教学能力提升；</w:t>
      </w:r>
    </w:p>
    <w:p>
      <w:pPr>
        <w:ind w:firstLine="640" w:firstLineChars="200"/>
        <w:rPr>
          <w:rFonts w:hint="eastAsia" w:ascii="仿宋_GB2312" w:eastAsia="仿宋_GB2312"/>
          <w:sz w:val="32"/>
          <w:szCs w:val="32"/>
        </w:rPr>
      </w:pPr>
      <w:r>
        <w:rPr>
          <w:rFonts w:hint="eastAsia" w:ascii="仿宋_GB2312" w:eastAsia="仿宋_GB2312"/>
          <w:sz w:val="32"/>
          <w:szCs w:val="32"/>
        </w:rPr>
        <w:t>4.湖北省高职院校立德树人的实践与研究；</w:t>
      </w:r>
    </w:p>
    <w:p>
      <w:pPr>
        <w:ind w:firstLine="640" w:firstLineChars="200"/>
        <w:rPr>
          <w:rFonts w:hint="eastAsia" w:ascii="仿宋_GB2312" w:eastAsia="仿宋_GB2312"/>
          <w:sz w:val="32"/>
          <w:szCs w:val="32"/>
        </w:rPr>
      </w:pPr>
      <w:r>
        <w:rPr>
          <w:rFonts w:hint="eastAsia" w:ascii="仿宋_GB2312" w:eastAsia="仿宋_GB2312"/>
          <w:sz w:val="32"/>
          <w:szCs w:val="32"/>
        </w:rPr>
        <w:t>5.湖北职业教育供给侧改革实证研究；</w:t>
      </w:r>
    </w:p>
    <w:p>
      <w:pPr>
        <w:ind w:firstLine="640" w:firstLineChars="200"/>
        <w:rPr>
          <w:rFonts w:hint="eastAsia" w:ascii="仿宋_GB2312" w:eastAsia="仿宋_GB2312"/>
          <w:sz w:val="32"/>
          <w:szCs w:val="32"/>
        </w:rPr>
      </w:pPr>
      <w:r>
        <w:rPr>
          <w:rFonts w:hint="eastAsia" w:ascii="仿宋_GB2312" w:eastAsia="仿宋_GB2312"/>
          <w:sz w:val="32"/>
          <w:szCs w:val="32"/>
        </w:rPr>
        <w:t>6.面向湖北“一芯两带三区协同”战略实施的专业群组群逻辑；</w:t>
      </w:r>
    </w:p>
    <w:p>
      <w:pPr>
        <w:ind w:firstLine="640" w:firstLineChars="200"/>
        <w:rPr>
          <w:rFonts w:hint="eastAsia" w:ascii="仿宋_GB2312" w:eastAsia="仿宋_GB2312"/>
          <w:sz w:val="32"/>
          <w:szCs w:val="32"/>
        </w:rPr>
      </w:pPr>
      <w:r>
        <w:rPr>
          <w:rFonts w:hint="eastAsia" w:ascii="仿宋_GB2312" w:eastAsia="仿宋_GB2312"/>
          <w:sz w:val="32"/>
          <w:szCs w:val="32"/>
        </w:rPr>
        <w:t>7.湖北职业教育“荆楚文化”传承传播实证研究；</w:t>
      </w:r>
    </w:p>
    <w:p>
      <w:pPr>
        <w:ind w:firstLine="640" w:firstLineChars="200"/>
        <w:rPr>
          <w:rFonts w:hint="eastAsia" w:ascii="仿宋_GB2312" w:eastAsia="仿宋_GB2312"/>
          <w:sz w:val="32"/>
          <w:szCs w:val="32"/>
        </w:rPr>
      </w:pPr>
      <w:r>
        <w:rPr>
          <w:rFonts w:hint="eastAsia" w:ascii="仿宋_GB2312" w:eastAsia="仿宋_GB2312"/>
          <w:sz w:val="32"/>
          <w:szCs w:val="32"/>
        </w:rPr>
        <w:t>8.湖北省职业教育专业与课程体系建设和改革；</w:t>
      </w:r>
    </w:p>
    <w:p>
      <w:pPr>
        <w:ind w:firstLine="640" w:firstLineChars="200"/>
        <w:rPr>
          <w:rFonts w:hint="eastAsia" w:ascii="仿宋_GB2312" w:eastAsia="仿宋_GB2312"/>
          <w:sz w:val="32"/>
          <w:szCs w:val="32"/>
        </w:rPr>
      </w:pPr>
      <w:r>
        <w:rPr>
          <w:rFonts w:hint="eastAsia" w:ascii="仿宋_GB2312" w:eastAsia="仿宋_GB2312"/>
          <w:sz w:val="32"/>
          <w:szCs w:val="32"/>
        </w:rPr>
        <w:t>9.湖北省职业院校推进“三教”改革研究；</w:t>
      </w:r>
    </w:p>
    <w:p>
      <w:pPr>
        <w:ind w:firstLine="640" w:firstLineChars="200"/>
        <w:rPr>
          <w:rFonts w:hint="eastAsia" w:ascii="仿宋_GB2312" w:eastAsia="仿宋_GB2312"/>
          <w:sz w:val="32"/>
          <w:szCs w:val="32"/>
        </w:rPr>
      </w:pPr>
      <w:r>
        <w:rPr>
          <w:rFonts w:hint="eastAsia" w:ascii="仿宋_GB2312" w:eastAsia="仿宋_GB2312"/>
          <w:sz w:val="32"/>
          <w:szCs w:val="32"/>
        </w:rPr>
        <w:t>10.职业教育实践教学改革与大学生创新能力培养融合研究；</w:t>
      </w:r>
    </w:p>
    <w:p>
      <w:pPr>
        <w:ind w:firstLine="640" w:firstLineChars="200"/>
        <w:rPr>
          <w:rFonts w:hint="eastAsia" w:ascii="仿宋_GB2312" w:eastAsia="仿宋_GB2312"/>
          <w:sz w:val="32"/>
          <w:szCs w:val="32"/>
        </w:rPr>
      </w:pPr>
      <w:r>
        <w:rPr>
          <w:rFonts w:hint="eastAsia" w:ascii="仿宋_GB2312" w:eastAsia="仿宋_GB2312"/>
          <w:sz w:val="32"/>
          <w:szCs w:val="32"/>
        </w:rPr>
        <w:t>11.基于“赛教融合”的职业教育教学改革研究；</w:t>
      </w:r>
    </w:p>
    <w:p>
      <w:pPr>
        <w:ind w:firstLine="640" w:firstLineChars="200"/>
        <w:rPr>
          <w:rFonts w:hint="eastAsia" w:ascii="仿宋_GB2312" w:eastAsia="仿宋_GB2312"/>
          <w:sz w:val="32"/>
          <w:szCs w:val="32"/>
        </w:rPr>
      </w:pPr>
      <w:r>
        <w:rPr>
          <w:rFonts w:hint="eastAsia" w:ascii="仿宋_GB2312" w:eastAsia="仿宋_GB2312"/>
          <w:sz w:val="32"/>
          <w:szCs w:val="32"/>
        </w:rPr>
        <w:t>12.湖北省高职院校优质教学资源的建设与共享机制研究；</w:t>
      </w:r>
    </w:p>
    <w:p>
      <w:pPr>
        <w:ind w:firstLine="640" w:firstLineChars="200"/>
        <w:rPr>
          <w:rFonts w:hint="eastAsia" w:ascii="仿宋_GB2312" w:eastAsia="仿宋_GB2312"/>
          <w:sz w:val="32"/>
          <w:szCs w:val="32"/>
        </w:rPr>
      </w:pPr>
      <w:r>
        <w:rPr>
          <w:rFonts w:hint="eastAsia" w:ascii="仿宋_GB2312" w:eastAsia="仿宋_GB2312"/>
          <w:sz w:val="32"/>
          <w:szCs w:val="32"/>
        </w:rPr>
        <w:t>13.湖北省职业院校教学质量管理及保障、监控机制和体系研究；</w:t>
      </w:r>
    </w:p>
    <w:p>
      <w:pPr>
        <w:ind w:firstLine="640" w:firstLineChars="200"/>
        <w:rPr>
          <w:rFonts w:hint="eastAsia" w:ascii="仿宋_GB2312" w:eastAsia="仿宋_GB2312"/>
          <w:sz w:val="32"/>
          <w:szCs w:val="32"/>
        </w:rPr>
      </w:pPr>
      <w:r>
        <w:rPr>
          <w:rFonts w:hint="eastAsia" w:ascii="仿宋_GB2312" w:eastAsia="仿宋_GB2312"/>
          <w:sz w:val="32"/>
          <w:szCs w:val="32"/>
        </w:rPr>
        <w:t>14.重大疫情背景下湖北省职业教育信息化建设的作用发挥研究；</w:t>
      </w:r>
    </w:p>
    <w:p>
      <w:pPr>
        <w:ind w:firstLine="640" w:firstLineChars="200"/>
        <w:rPr>
          <w:rFonts w:hint="eastAsia" w:ascii="仿宋_GB2312" w:eastAsia="仿宋_GB2312"/>
          <w:sz w:val="32"/>
          <w:szCs w:val="32"/>
        </w:rPr>
      </w:pPr>
      <w:r>
        <w:rPr>
          <w:rFonts w:hint="eastAsia" w:ascii="仿宋_GB2312" w:eastAsia="仿宋_GB2312"/>
          <w:sz w:val="32"/>
          <w:szCs w:val="32"/>
        </w:rPr>
        <w:t>15.湖北省职业教育在线开放课程的建设、应用与评价研究；</w:t>
      </w:r>
    </w:p>
    <w:p>
      <w:pPr>
        <w:ind w:firstLine="640" w:firstLineChars="200"/>
        <w:rPr>
          <w:rFonts w:hint="eastAsia" w:ascii="仿宋_GB2312" w:eastAsia="仿宋_GB2312"/>
          <w:sz w:val="32"/>
          <w:szCs w:val="32"/>
        </w:rPr>
      </w:pPr>
      <w:r>
        <w:rPr>
          <w:rFonts w:hint="eastAsia" w:ascii="仿宋_GB2312" w:eastAsia="仿宋_GB2312"/>
          <w:sz w:val="32"/>
          <w:szCs w:val="32"/>
        </w:rPr>
        <w:t>16.湖北省职业院校年度质量报告制度有效性研究；</w:t>
      </w:r>
    </w:p>
    <w:p>
      <w:pPr>
        <w:ind w:firstLine="640" w:firstLineChars="200"/>
        <w:rPr>
          <w:rFonts w:hint="eastAsia" w:ascii="仿宋_GB2312" w:eastAsia="仿宋_GB2312"/>
          <w:sz w:val="32"/>
          <w:szCs w:val="32"/>
        </w:rPr>
      </w:pPr>
      <w:r>
        <w:rPr>
          <w:rFonts w:hint="eastAsia" w:ascii="仿宋_GB2312" w:eastAsia="仿宋_GB2312"/>
          <w:sz w:val="32"/>
          <w:szCs w:val="32"/>
        </w:rPr>
        <w:t>17.湖北省1+X证书制度试点推进与实施研究；</w:t>
      </w:r>
    </w:p>
    <w:p>
      <w:pPr>
        <w:ind w:firstLine="640" w:firstLineChars="200"/>
        <w:rPr>
          <w:rFonts w:hint="eastAsia" w:ascii="仿宋_GB2312" w:eastAsia="仿宋_GB2312"/>
          <w:sz w:val="32"/>
          <w:szCs w:val="32"/>
        </w:rPr>
      </w:pPr>
      <w:r>
        <w:rPr>
          <w:rFonts w:hint="eastAsia" w:ascii="仿宋_GB2312" w:eastAsia="仿宋_GB2312"/>
          <w:sz w:val="32"/>
          <w:szCs w:val="32"/>
        </w:rPr>
        <w:t>18.湖北省职业教育落实《国家职业教育改革实施方案》实效研究；</w:t>
      </w:r>
    </w:p>
    <w:p>
      <w:pPr>
        <w:ind w:firstLine="640" w:firstLineChars="200"/>
        <w:rPr>
          <w:rFonts w:hint="eastAsia" w:ascii="仿宋_GB2312" w:eastAsia="仿宋_GB2312"/>
          <w:sz w:val="32"/>
          <w:szCs w:val="32"/>
        </w:rPr>
      </w:pPr>
      <w:r>
        <w:rPr>
          <w:rFonts w:hint="eastAsia" w:ascii="仿宋_GB2312" w:eastAsia="仿宋_GB2312"/>
          <w:sz w:val="32"/>
          <w:szCs w:val="32"/>
        </w:rPr>
        <w:t>19.国家《职业技能提升行动方案（2019-2021年）》在湖北省实施情况调研；</w:t>
      </w:r>
    </w:p>
    <w:p>
      <w:pPr>
        <w:ind w:firstLine="640" w:firstLineChars="200"/>
        <w:rPr>
          <w:rFonts w:hint="eastAsia" w:ascii="仿宋_GB2312" w:eastAsia="仿宋_GB2312"/>
          <w:sz w:val="32"/>
          <w:szCs w:val="32"/>
        </w:rPr>
      </w:pPr>
      <w:r>
        <w:rPr>
          <w:rFonts w:hint="eastAsia" w:ascii="仿宋_GB2312" w:eastAsia="仿宋_GB2312"/>
          <w:sz w:val="32"/>
          <w:szCs w:val="32"/>
        </w:rPr>
        <w:t>20.湖北省职业教育服务“精准扶贫”的研究与实践；</w:t>
      </w:r>
    </w:p>
    <w:p>
      <w:pPr>
        <w:ind w:firstLine="640" w:firstLineChars="200"/>
        <w:rPr>
          <w:rFonts w:hint="eastAsia" w:ascii="仿宋_GB2312" w:eastAsia="仿宋_GB2312"/>
          <w:sz w:val="32"/>
          <w:szCs w:val="32"/>
        </w:rPr>
      </w:pPr>
      <w:r>
        <w:rPr>
          <w:rFonts w:hint="eastAsia" w:ascii="仿宋_GB2312" w:eastAsia="仿宋_GB2312"/>
          <w:sz w:val="32"/>
          <w:szCs w:val="32"/>
        </w:rPr>
        <w:t>21.湖北省现代职业教育体系建设实效性分析；</w:t>
      </w:r>
    </w:p>
    <w:p>
      <w:pPr>
        <w:ind w:firstLine="640" w:firstLineChars="200"/>
        <w:rPr>
          <w:rFonts w:ascii="仿宋_GB2312" w:eastAsia="仿宋_GB2312"/>
          <w:sz w:val="32"/>
          <w:szCs w:val="32"/>
        </w:rPr>
      </w:pPr>
      <w:r>
        <w:rPr>
          <w:rFonts w:hint="eastAsia" w:ascii="仿宋_GB2312" w:eastAsia="仿宋_GB2312"/>
          <w:sz w:val="32"/>
          <w:szCs w:val="32"/>
        </w:rPr>
        <w:t>22.现代学徒制与新型学徒制比较研究。</w:t>
      </w: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600" w:lineRule="exact"/>
        <w:rPr>
          <w:rFonts w:ascii="仿宋_GB2312" w:hAnsi="楷体" w:eastAsia="仿宋_GB2312"/>
          <w:sz w:val="32"/>
          <w:szCs w:val="32"/>
        </w:rPr>
      </w:pPr>
      <w:bookmarkStart w:id="0" w:name="_GoBack"/>
      <w:bookmarkEnd w:id="0"/>
    </w:p>
    <w:sectPr>
      <w:headerReference r:id="rId3" w:type="default"/>
      <w:footerReference r:id="rId4" w:type="default"/>
      <w:footerReference r:id="rId5"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仿宋_GB2312" w:eastAsia="仿宋_GB2312"/>
        <w:sz w:val="28"/>
        <w:szCs w:val="28"/>
      </w:rPr>
    </w:pPr>
    <w:r>
      <w:rPr>
        <w:rFonts w:hint="eastAsia" w:ascii="仿宋_GB2312" w:eastAsia="仿宋_GB2312"/>
        <w:sz w:val="28"/>
        <w:szCs w:val="28"/>
      </w:rPr>
      <w:fldChar w:fldCharType="begin"/>
    </w:r>
    <w:r>
      <w:rPr>
        <w:rStyle w:val="11"/>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1"/>
        <w:rFonts w:ascii="仿宋_GB2312" w:eastAsia="仿宋_GB2312"/>
        <w:sz w:val="28"/>
        <w:szCs w:val="28"/>
      </w:rPr>
      <w:t>- 1 -</w:t>
    </w:r>
    <w:r>
      <w:rPr>
        <w:rFonts w:hint="eastAsia" w:ascii="仿宋_GB2312" w:eastAsia="仿宋_GB2312"/>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37A52"/>
    <w:rsid w:val="000475AB"/>
    <w:rsid w:val="000A02FF"/>
    <w:rsid w:val="000B7625"/>
    <w:rsid w:val="000C0EAA"/>
    <w:rsid w:val="000C7A67"/>
    <w:rsid w:val="00111814"/>
    <w:rsid w:val="001176F5"/>
    <w:rsid w:val="00153192"/>
    <w:rsid w:val="00172A27"/>
    <w:rsid w:val="00182B21"/>
    <w:rsid w:val="001B6303"/>
    <w:rsid w:val="001B7585"/>
    <w:rsid w:val="001B7777"/>
    <w:rsid w:val="001B7B2B"/>
    <w:rsid w:val="001C1563"/>
    <w:rsid w:val="001E4753"/>
    <w:rsid w:val="00207A05"/>
    <w:rsid w:val="00211DC1"/>
    <w:rsid w:val="00255754"/>
    <w:rsid w:val="002714DF"/>
    <w:rsid w:val="00284D13"/>
    <w:rsid w:val="00285C4D"/>
    <w:rsid w:val="00295D29"/>
    <w:rsid w:val="002B5918"/>
    <w:rsid w:val="002C0CAA"/>
    <w:rsid w:val="002C5955"/>
    <w:rsid w:val="002C65B5"/>
    <w:rsid w:val="002D3CE6"/>
    <w:rsid w:val="002F3AC2"/>
    <w:rsid w:val="0030149E"/>
    <w:rsid w:val="00302BF9"/>
    <w:rsid w:val="00320E6F"/>
    <w:rsid w:val="00320F0C"/>
    <w:rsid w:val="00327486"/>
    <w:rsid w:val="0034039B"/>
    <w:rsid w:val="00355521"/>
    <w:rsid w:val="00360B27"/>
    <w:rsid w:val="003711DC"/>
    <w:rsid w:val="003713EB"/>
    <w:rsid w:val="00375B2C"/>
    <w:rsid w:val="00377985"/>
    <w:rsid w:val="00381995"/>
    <w:rsid w:val="00390E2F"/>
    <w:rsid w:val="003A2EB7"/>
    <w:rsid w:val="003B032B"/>
    <w:rsid w:val="00405095"/>
    <w:rsid w:val="00407408"/>
    <w:rsid w:val="00421326"/>
    <w:rsid w:val="0043643E"/>
    <w:rsid w:val="004367FB"/>
    <w:rsid w:val="004634AE"/>
    <w:rsid w:val="00497BC5"/>
    <w:rsid w:val="004A0912"/>
    <w:rsid w:val="004B3D56"/>
    <w:rsid w:val="004F28B3"/>
    <w:rsid w:val="00542E5F"/>
    <w:rsid w:val="00551329"/>
    <w:rsid w:val="0056479E"/>
    <w:rsid w:val="00581E12"/>
    <w:rsid w:val="00585FE3"/>
    <w:rsid w:val="005A6160"/>
    <w:rsid w:val="00605EFE"/>
    <w:rsid w:val="0061484F"/>
    <w:rsid w:val="00616E23"/>
    <w:rsid w:val="00636456"/>
    <w:rsid w:val="00654CA9"/>
    <w:rsid w:val="00656CCA"/>
    <w:rsid w:val="00657464"/>
    <w:rsid w:val="0065750E"/>
    <w:rsid w:val="0067109F"/>
    <w:rsid w:val="006832A8"/>
    <w:rsid w:val="00693679"/>
    <w:rsid w:val="00693C50"/>
    <w:rsid w:val="006A497E"/>
    <w:rsid w:val="006B4B77"/>
    <w:rsid w:val="006C6C84"/>
    <w:rsid w:val="006E2192"/>
    <w:rsid w:val="00712A8F"/>
    <w:rsid w:val="007179C1"/>
    <w:rsid w:val="00723205"/>
    <w:rsid w:val="00736AF6"/>
    <w:rsid w:val="00736DBD"/>
    <w:rsid w:val="00737DA2"/>
    <w:rsid w:val="00777A6A"/>
    <w:rsid w:val="007A63B2"/>
    <w:rsid w:val="007D5CCD"/>
    <w:rsid w:val="007E2808"/>
    <w:rsid w:val="008062D1"/>
    <w:rsid w:val="00824E05"/>
    <w:rsid w:val="00842D2F"/>
    <w:rsid w:val="00864C6F"/>
    <w:rsid w:val="008723B8"/>
    <w:rsid w:val="00873C06"/>
    <w:rsid w:val="008743A8"/>
    <w:rsid w:val="008D5128"/>
    <w:rsid w:val="008E3427"/>
    <w:rsid w:val="008F3F5E"/>
    <w:rsid w:val="00916259"/>
    <w:rsid w:val="00917F5D"/>
    <w:rsid w:val="00927A8F"/>
    <w:rsid w:val="00934F78"/>
    <w:rsid w:val="009419A9"/>
    <w:rsid w:val="009624D2"/>
    <w:rsid w:val="009729F4"/>
    <w:rsid w:val="00984704"/>
    <w:rsid w:val="00990653"/>
    <w:rsid w:val="00995DDD"/>
    <w:rsid w:val="009A4CAB"/>
    <w:rsid w:val="009A5FD1"/>
    <w:rsid w:val="009F1292"/>
    <w:rsid w:val="00A01E85"/>
    <w:rsid w:val="00A11D78"/>
    <w:rsid w:val="00A411E6"/>
    <w:rsid w:val="00A46BDB"/>
    <w:rsid w:val="00A47B0E"/>
    <w:rsid w:val="00A47FFA"/>
    <w:rsid w:val="00A63760"/>
    <w:rsid w:val="00A66059"/>
    <w:rsid w:val="00A733FE"/>
    <w:rsid w:val="00A75154"/>
    <w:rsid w:val="00A83B11"/>
    <w:rsid w:val="00AA0043"/>
    <w:rsid w:val="00AA76A3"/>
    <w:rsid w:val="00AE478F"/>
    <w:rsid w:val="00B17FBC"/>
    <w:rsid w:val="00B2202E"/>
    <w:rsid w:val="00B40158"/>
    <w:rsid w:val="00B44D8E"/>
    <w:rsid w:val="00B467A1"/>
    <w:rsid w:val="00B61BC8"/>
    <w:rsid w:val="00B70ADE"/>
    <w:rsid w:val="00B72AF2"/>
    <w:rsid w:val="00B74FBC"/>
    <w:rsid w:val="00B94940"/>
    <w:rsid w:val="00BD3844"/>
    <w:rsid w:val="00BD4D25"/>
    <w:rsid w:val="00C177D6"/>
    <w:rsid w:val="00C4444B"/>
    <w:rsid w:val="00C64ADE"/>
    <w:rsid w:val="00C92B9C"/>
    <w:rsid w:val="00C971EB"/>
    <w:rsid w:val="00CE1B40"/>
    <w:rsid w:val="00CF4116"/>
    <w:rsid w:val="00CF42D7"/>
    <w:rsid w:val="00D02BF3"/>
    <w:rsid w:val="00D35B8C"/>
    <w:rsid w:val="00D57CA5"/>
    <w:rsid w:val="00D65209"/>
    <w:rsid w:val="00D85D36"/>
    <w:rsid w:val="00DD6717"/>
    <w:rsid w:val="00DF1BDA"/>
    <w:rsid w:val="00DF50CD"/>
    <w:rsid w:val="00DF5BE5"/>
    <w:rsid w:val="00E020AC"/>
    <w:rsid w:val="00E0678B"/>
    <w:rsid w:val="00E22600"/>
    <w:rsid w:val="00E2391F"/>
    <w:rsid w:val="00E347FA"/>
    <w:rsid w:val="00E65175"/>
    <w:rsid w:val="00E801B4"/>
    <w:rsid w:val="00E816C3"/>
    <w:rsid w:val="00EA2082"/>
    <w:rsid w:val="00EA5CAE"/>
    <w:rsid w:val="00ED1B2D"/>
    <w:rsid w:val="00EE635C"/>
    <w:rsid w:val="00EF0592"/>
    <w:rsid w:val="00EF41E1"/>
    <w:rsid w:val="00EF7D96"/>
    <w:rsid w:val="00F12083"/>
    <w:rsid w:val="00F21EE8"/>
    <w:rsid w:val="00F3140B"/>
    <w:rsid w:val="00F32AA0"/>
    <w:rsid w:val="00F33D8B"/>
    <w:rsid w:val="00F353E8"/>
    <w:rsid w:val="00F41DA0"/>
    <w:rsid w:val="00F4470E"/>
    <w:rsid w:val="00F51D1B"/>
    <w:rsid w:val="00F7370E"/>
    <w:rsid w:val="00FA57CD"/>
    <w:rsid w:val="00FC0BC6"/>
    <w:rsid w:val="04741A60"/>
    <w:rsid w:val="155C5C7A"/>
    <w:rsid w:val="35820984"/>
    <w:rsid w:val="39AD4662"/>
    <w:rsid w:val="3C8A250E"/>
    <w:rsid w:val="41AC15B3"/>
    <w:rsid w:val="44204F56"/>
    <w:rsid w:val="466A22AD"/>
    <w:rsid w:val="471D1D07"/>
    <w:rsid w:val="525C5C8F"/>
    <w:rsid w:val="5D4F0E4B"/>
    <w:rsid w:val="6E866E90"/>
    <w:rsid w:val="75E40F75"/>
    <w:rsid w:val="7B9671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link w:val="21"/>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uiPriority w:val="0"/>
  </w:style>
  <w:style w:type="character" w:styleId="12">
    <w:name w:val="Hyperlink"/>
    <w:basedOn w:val="9"/>
    <w:uiPriority w:val="0"/>
    <w:rPr>
      <w:color w:val="0000FF"/>
      <w:u w:val="single"/>
    </w:rPr>
  </w:style>
  <w:style w:type="character" w:customStyle="1" w:styleId="13">
    <w:name w:val="font31"/>
    <w:basedOn w:val="9"/>
    <w:uiPriority w:val="0"/>
    <w:rPr>
      <w:rFonts w:hint="eastAsia" w:ascii="仿宋" w:hAnsi="仿宋" w:eastAsia="仿宋" w:cs="仿宋"/>
      <w:color w:val="000000"/>
      <w:sz w:val="24"/>
      <w:szCs w:val="24"/>
      <w:u w:val="none"/>
    </w:rPr>
  </w:style>
  <w:style w:type="character" w:customStyle="1" w:styleId="14">
    <w:name w:val="font21"/>
    <w:basedOn w:val="9"/>
    <w:uiPriority w:val="0"/>
    <w:rPr>
      <w:rFonts w:hint="eastAsia" w:ascii="仿宋" w:hAnsi="仿宋" w:eastAsia="仿宋" w:cs="仿宋"/>
      <w:color w:val="000000"/>
      <w:sz w:val="24"/>
      <w:szCs w:val="24"/>
      <w:u w:val="none"/>
    </w:rPr>
  </w:style>
  <w:style w:type="character" w:customStyle="1" w:styleId="15">
    <w:name w:val="font01"/>
    <w:basedOn w:val="9"/>
    <w:uiPriority w:val="0"/>
    <w:rPr>
      <w:rFonts w:hint="default" w:ascii="Arial" w:hAnsi="Arial" w:cs="Arial"/>
      <w:color w:val="000000"/>
      <w:sz w:val="24"/>
      <w:szCs w:val="24"/>
      <w:u w:val="none"/>
    </w:rPr>
  </w:style>
  <w:style w:type="character" w:customStyle="1" w:styleId="16">
    <w:name w:val="style11"/>
    <w:basedOn w:val="9"/>
    <w:uiPriority w:val="0"/>
    <w:rPr>
      <w:b/>
      <w:bCs/>
      <w:color w:val="000000"/>
      <w:sz w:val="21"/>
      <w:szCs w:val="21"/>
    </w:rPr>
  </w:style>
  <w:style w:type="paragraph" w:customStyle="1" w:styleId="17">
    <w:name w:val="Char1"/>
    <w:basedOn w:val="1"/>
    <w:uiPriority w:val="0"/>
    <w:pPr>
      <w:widowControl/>
      <w:spacing w:after="160" w:line="240" w:lineRule="exact"/>
      <w:jc w:val="left"/>
    </w:pPr>
    <w:rPr>
      <w:szCs w:val="24"/>
    </w:rPr>
  </w:style>
  <w:style w:type="paragraph" w:customStyle="1" w:styleId="18">
    <w:name w:val="_Style 5"/>
    <w:basedOn w:val="1"/>
    <w:uiPriority w:val="0"/>
    <w:pPr>
      <w:snapToGrid w:val="0"/>
      <w:spacing w:line="520" w:lineRule="exact"/>
      <w:ind w:right="28" w:firstLine="200" w:firstLineChars="200"/>
      <w:jc w:val="center"/>
    </w:pPr>
    <w:rPr>
      <w:szCs w:val="24"/>
    </w:rPr>
  </w:style>
  <w:style w:type="paragraph" w:customStyle="1" w:styleId="19">
    <w:name w:val="Char Char Char Char Char Char Char Char Char Char Char Char Char"/>
    <w:basedOn w:val="1"/>
    <w:uiPriority w:val="0"/>
    <w:pPr>
      <w:widowControl/>
      <w:spacing w:after="160" w:line="240" w:lineRule="exact"/>
      <w:jc w:val="left"/>
    </w:pPr>
    <w:rPr>
      <w:szCs w:val="24"/>
    </w:rPr>
  </w:style>
  <w:style w:type="character" w:customStyle="1" w:styleId="20">
    <w:name w:val="标题 1 Char"/>
    <w:basedOn w:val="9"/>
    <w:link w:val="2"/>
    <w:uiPriority w:val="0"/>
    <w:rPr>
      <w:b/>
      <w:bCs/>
      <w:kern w:val="44"/>
      <w:sz w:val="44"/>
      <w:szCs w:val="44"/>
    </w:rPr>
  </w:style>
  <w:style w:type="character" w:customStyle="1" w:styleId="21">
    <w:name w:val="批注框文本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E358A-0FEE-46F7-93F1-4E1D416996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653</Words>
  <Characters>3725</Characters>
  <Lines>31</Lines>
  <Paragraphs>8</Paragraphs>
  <TotalTime>6</TotalTime>
  <ScaleCrop>false</ScaleCrop>
  <LinksUpToDate>false</LinksUpToDate>
  <CharactersWithSpaces>4370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2020-06-07T04:05:00Z</dcterms:created>
  <dc:creator>微软用户</dc:creator>
  <cp:lastModifiedBy>吕中辉</cp:lastModifiedBy>
  <cp:lastPrinted>2020-06-07T03:59:00Z</cp:lastPrinted>
  <dcterms:modified xsi:type="dcterms:W3CDTF">2020-06-07T06:23:12Z</dcterms:modified>
  <dc:title>鄂职教学会〔2013〕10号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