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第四届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学术委员会工作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总结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及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第五届学术委员会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2019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-2020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年工作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600" w:lineRule="exact"/>
        <w:ind w:firstLine="60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eastAsia="zh-CN"/>
        </w:rPr>
        <w:t>第一部分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eastAsia="zh-CN"/>
        </w:rPr>
        <w:t>第四届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</w:rPr>
        <w:t>学术委员会工作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第四届院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学术委员会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按照章程履行职责，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围绕学院中心工作，以积极参与、科学评价、主动服务为工作导向，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围绕学院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党政提出的工作目标，在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科学研究、专业建设、队伍建设、项目及成果评审、学术规范管理、重大事项学术咨询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等方面做了大量工作，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圆满完成任期工作任务，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现将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第四届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学术委员会的工作报告如下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加强学术委员会自身建设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44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1.健全制度，完善学术治理体系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依据《高等教育法》《高等学校学术委员会规程》和学院章程，修订学术委员会章程。制定《学术规范管理办法》和《预防与处理学术不端行为实施办法》。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改进学术委员工作绩效奖励发放办法。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根据“公开”、“公平”、“公正”的原则，完善学术委员会工作程序和流程，推进学术评价的规范化、科学化。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2.自身队伍建设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学院第一届学术委员会1998年10月成立，2013年8月换届成立第四届学术委员会，第四届学术委员会共有委员27名，下设4个学科专业组、2个专门工作组。2015年12月按照“湖北省委《关于进一步加强党对高校领导的若干意见》”要求，第四届学术委员会成员进行了大幅调整，主任委员，副主任委员、秘书长、学科专业组组长和部分委员都有调整，因身体原因或工作原因，本次换届前委员人数减至22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结合学院发展的实际，2019年学院机构改革后及时启动第五届学术委员会换届工作。</w:t>
      </w:r>
    </w:p>
    <w:p>
      <w:pPr>
        <w:keepNext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开展学术评价与指导工作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对国家和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省教育科学规划课题、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科技厅、教育厅等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以及校级课题开展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立项和结题评审，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高级别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项目提供咨询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指导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积极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教学基层单位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开展科研政策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和学术理论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宣讲。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国家级课题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和知识产权项目均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实现突破，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获得国家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社科基金项目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办项目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1个；联合申报国家自然科学基金项目3项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指导科研成果申报，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组织省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和国家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职业教育科学研究成果申报，实现了国家级教学成果奖的突破。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三、大力开展学术活动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协助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完成省职教学会学术委员会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工作，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组织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和参入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课题申报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结题工作。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草拟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省职教学会学术委员会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年度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工作总结及工作计划。起草《省职教学会第四届学术委员会组成人员建议名单》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0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组织参加“省船舶与海洋工程装备院士工作中心报告会”“武汉总部经济论坛—创新创业”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科技成果转化对接活动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”“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中国.湖北产学研合作项目洽谈会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”等科技学术活动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四、服务学院发展，开展决策咨询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为“双高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建设计划项目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组织专家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专业群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设置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及专业涵盖进行研讨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，提出决策建议。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参入制定和修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《专业技术职务评审量化办法》、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1+6科研及学术管理系列文件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等相关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等制度文件，发挥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管理咨询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作用。参入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讨论制定学院十三五科学研究与社会服务发展规划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等。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五、强化学风建设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组织学习教育部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40号令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“高等学校预防和处理学术不端行为办法”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受理有关学术规范问题事项。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严格把控学术交流和学报的政治方向，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大力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推进学风建设，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鼓励学术创新、维护学术的独立性与纯洁性，坚守学术责任，恪守学术道德，维护学术声誉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六、指导队伍、团队和平台建设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组织对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科技创新团队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、科研机构进行申报立项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遴选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和结项验收评审以及绩效评价和过程指导，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努力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培育和一批具有自主创新能力、能为我校和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地方和行业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经济社会发展解决重大科技问题的优秀科技创新群体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参入申报建设部级“现代制造应用技术协同创新中心”项目。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认真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参入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评定推荐各类高层次人才及项目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职称评审工作。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开展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专项培训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聘请专家和业界人士对学院专业技术人员进行知识产权、课题及成果申报的指导和培训，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专业技术人员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科研能力提高提供系统支持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七、指导专业建设和创新创业活动</w:t>
      </w:r>
    </w:p>
    <w:p>
      <w:pPr>
        <w:pStyle w:val="13"/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textAlignment w:val="auto"/>
        <w:rPr>
          <w:rStyle w:val="16"/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积极配合推进“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创新发展行动计划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”“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现代学徒制试点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”相关任务的完成。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参入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专业设置、</w:t>
      </w:r>
      <w:r>
        <w:rPr>
          <w:rStyle w:val="16"/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新专业申报论证工作，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参加品牌与特色专业建设项目专家评审指导工作、参入指导精品课评选、国家级精品在线开放课程推荐申报。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积极推进创新创业活动，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参入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制定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创新创业管理办法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”等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制度，组织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学术委员会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专家指导和评审学生科技项目，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bidi="ar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大学生“互联网+”创新创业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大赛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、“挑战杯”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/>
        </w:rPr>
        <w:t>等比赛中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bidi="ar"/>
        </w:rPr>
        <w:t>，我院学生取得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eastAsia="zh-CN" w:bidi="ar"/>
        </w:rPr>
        <w:t>较好成绩。</w:t>
      </w:r>
    </w:p>
    <w:p>
      <w:pPr>
        <w:keepNext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八、发挥智囊智库作用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发挥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学术委员会学术引领作用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保证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学院《学报》高质量出版。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组织征集《湖北省职称评审办法》修改意见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完成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教育部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布置的《职业院校强化管理行动计划》征求意见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工作，为职业教育献计献策。为省教育体制改革专项领导小组“教育改革事项专题调研”提交决策建议研究报告，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参入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开展“优质高职院校建设”及“专科高职教育学位可行性研究”调查，获得“武汉市科协科技创新智库建设优秀科技工作者建议”等荣誉。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学术委员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受701研究所等单位聘请参加国家重要军工项目论证、设计审核、成果鉴定验收等工作，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行业、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地方经济和社会发展提供智力服务，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</w:rPr>
        <w:t>扩大了学院行业影响力。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组织向各类学会协会及政府学术机构推荐理事、委员和专家库专家等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0余人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九、问题与建议：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通过对本届学术委员会的工作总结和问题梳理，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对下一届校学术委员会工作提出建议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如下：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希望校学术委员会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，统筹学术委员会与教学指导委员的设置，结合双高建设要求，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围绕学院中心工作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重点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任务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，提前开展重点课题研究，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更多的主动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为学院发展提供决策咨询；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针对区域和行业经济建设亟待解决的热点问题，开展专题研究；强化学风建设，提升学术规范管理层次，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不断丰富学术评价方式和组织形式，妥善应对新问题、新情况，保障学术权利，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切实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促进学校发展。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0"/>
          <w:szCs w:val="30"/>
          <w:lang w:val="en-US" w:eastAsia="zh-CN" w:bidi="ar-SA"/>
        </w:rPr>
        <w:t>第二部分 第五届学术委员会2019-2020年工作计划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一、工作思路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第五届学术委员会将依据学术委员会章程，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围绕加快现代职业教育体系建设，落实《国家职业教育改革实施方案》，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大力推进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创新驱动发展战略，按照学院十三五发展规划要求和双高建设目标，提升学术治理水平，服务学院发展大局，不断改进各级各类课题立项与结题评审及成果评选推荐工作，提高研究质量、培育优势科研领域；充分发挥专家智囊智库作用，积极推动技术开发与服务，为培育学院核心竞争力、增强社会服务能力献计献策；为巩固和发展学院办学优势聚心聚力；为防范学术不端行为严把关口。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、主要任务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（一）加强教育改革与发展政策的学习与研究，确实提高政策理论水平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深入学习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《国家职业教育改革实施方案》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等政策文件；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切实提高政策理论水平，为我院准确把握现代职业教育体系建设政策，增强引领职业教育发展能力提供智力支持。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根据教育部《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高等学校学术委员会规程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》，统筹教学指导委员建设实际，再次修订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《武汉船舶职业技术学院学术委员会章程》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，组织学习学院新修订的章程和新制定的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《预防与处理学术不端行为实施办法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》。学习中办、国办发布的《关于进一步弘扬科学家精神加强作风和学风建设的意见》，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严格把控学术交流和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学术活动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的政治方向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（三）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组建下属机构，结合学院机构改革情况，成立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二级学院学术分委员会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和学科方向研究机构，成立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学术规范专门委员会，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提升学术规范管理层次，成立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学科专业委员会，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完善委员审批登记建档程序和手续，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QQ工作群。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（四）结合职教20条和双高建设目标要求，协助贯彻落实学院新制定的1+6科研及学术管理系列文件制度。开展学术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成果认定、学术带头人的评选等工作。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（五）主动配合“国家级教师教学创新团队、名师工作室、现代制造应用技术协同创新中心”等学术团队与平台开展工作。配合完成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教育教学诊改工作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（六）结合学院社科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基金课题等重点项目，开展船舶行业职教标准和“1+X”证书制度研究工作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（七）探索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学术委员会特邀委员的工作，引进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船舶行业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 xml:space="preserve">有影响的学术人物，为学校发展提供更多的机会和资源。     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74" w:leftChars="0"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（八）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加强国家产业政策的学习研究与行业企业调研分析，继续发挥专家智囊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智库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作用，做好学院特色学科专业群建设的推进者；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74" w:leftChars="0"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（九）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自觉遵守职业道德，民主、理性地开展学术评价，做好学术规范的守卫者；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74" w:leftChars="0"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（十）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带头开展学术研究，多出成果、出好成果，做好学术发展的促进者与引领者。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 xml:space="preserve">   学术委员会要围绕中心任务，服务学院发展大局，在学术评价、决策咨询、优良学风建设等方面继续发挥积极作用，要站在学院发展全局的高度，思考与研究问题，坚持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学术活动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“促进教学、服务社会”的理念，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瞄准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双高建设与应用型本科高标准学术要求，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切实履行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学术委员会的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职能，助推学院建设发展更上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台阶。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A0D87"/>
    <w:multiLevelType w:val="singleLevel"/>
    <w:tmpl w:val="FC8A0D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87ACF"/>
    <w:rsid w:val="064160DA"/>
    <w:rsid w:val="075D2CD8"/>
    <w:rsid w:val="07BB2948"/>
    <w:rsid w:val="082B27C1"/>
    <w:rsid w:val="09192A32"/>
    <w:rsid w:val="0ACA5EFB"/>
    <w:rsid w:val="0EFB32CC"/>
    <w:rsid w:val="12070CB2"/>
    <w:rsid w:val="129447F2"/>
    <w:rsid w:val="12C81137"/>
    <w:rsid w:val="15045C5F"/>
    <w:rsid w:val="16255018"/>
    <w:rsid w:val="189F067A"/>
    <w:rsid w:val="199859BE"/>
    <w:rsid w:val="20817F2C"/>
    <w:rsid w:val="22A2276C"/>
    <w:rsid w:val="244C6B3A"/>
    <w:rsid w:val="25A54901"/>
    <w:rsid w:val="27940DD0"/>
    <w:rsid w:val="279E77F0"/>
    <w:rsid w:val="2B182D16"/>
    <w:rsid w:val="2B1D52FE"/>
    <w:rsid w:val="30432C8F"/>
    <w:rsid w:val="317B4006"/>
    <w:rsid w:val="32195144"/>
    <w:rsid w:val="344B0B23"/>
    <w:rsid w:val="3685130A"/>
    <w:rsid w:val="36D87B75"/>
    <w:rsid w:val="37817EE8"/>
    <w:rsid w:val="39C04631"/>
    <w:rsid w:val="3AAE4983"/>
    <w:rsid w:val="3B4F0BB8"/>
    <w:rsid w:val="3F4950E6"/>
    <w:rsid w:val="3F996CE4"/>
    <w:rsid w:val="400F1359"/>
    <w:rsid w:val="42017816"/>
    <w:rsid w:val="44B56729"/>
    <w:rsid w:val="46A452CB"/>
    <w:rsid w:val="486F4DEE"/>
    <w:rsid w:val="4AB26B09"/>
    <w:rsid w:val="4BC769C8"/>
    <w:rsid w:val="4C975553"/>
    <w:rsid w:val="4E2B3E2B"/>
    <w:rsid w:val="4EC26C00"/>
    <w:rsid w:val="507A137C"/>
    <w:rsid w:val="530510E4"/>
    <w:rsid w:val="53332C40"/>
    <w:rsid w:val="536C5A2B"/>
    <w:rsid w:val="53AD1EA2"/>
    <w:rsid w:val="53CF07B5"/>
    <w:rsid w:val="57C84206"/>
    <w:rsid w:val="5EB85278"/>
    <w:rsid w:val="5F5C2C2A"/>
    <w:rsid w:val="61CE7D04"/>
    <w:rsid w:val="6265055D"/>
    <w:rsid w:val="641D7FAF"/>
    <w:rsid w:val="65E27C55"/>
    <w:rsid w:val="66190472"/>
    <w:rsid w:val="67083357"/>
    <w:rsid w:val="6941097E"/>
    <w:rsid w:val="69D16A16"/>
    <w:rsid w:val="6D1F6434"/>
    <w:rsid w:val="6D2E774C"/>
    <w:rsid w:val="6D4E2285"/>
    <w:rsid w:val="6DE87ACF"/>
    <w:rsid w:val="6F823ACC"/>
    <w:rsid w:val="700E2160"/>
    <w:rsid w:val="71442614"/>
    <w:rsid w:val="71924304"/>
    <w:rsid w:val="762446FE"/>
    <w:rsid w:val="773D518B"/>
    <w:rsid w:val="77AE0228"/>
    <w:rsid w:val="786622E8"/>
    <w:rsid w:val="78E427FB"/>
    <w:rsid w:val="7C457350"/>
    <w:rsid w:val="7C4A4A0F"/>
    <w:rsid w:val="7C5D45DC"/>
    <w:rsid w:val="7C6A3517"/>
    <w:rsid w:val="7CCE687D"/>
    <w:rsid w:val="7E8B5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eastAsia" w:ascii="微软雅黑" w:hAnsi="微软雅黑" w:eastAsia="微软雅黑" w:cs="微软雅黑"/>
      <w:color w:val="282828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jianjieneirong"/>
    <w:basedOn w:val="9"/>
    <w:qFormat/>
    <w:uiPriority w:val="0"/>
  </w:style>
  <w:style w:type="paragraph" w:customStyle="1" w:styleId="17">
    <w:name w:val="样式2"/>
    <w:basedOn w:val="1"/>
    <w:qFormat/>
    <w:uiPriority w:val="0"/>
    <w:pPr>
      <w:jc w:val="center"/>
      <w:outlineLvl w:val="0"/>
    </w:pPr>
    <w:rPr>
      <w:rFonts w:ascii="黑体" w:eastAsia="黑体"/>
      <w:b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2019-09-03T19:30:00Z</dcterms:created>
  <dc:creator>Y摇</dc:creator>
  <cp:lastModifiedBy>Y摇</cp:lastModifiedBy>
  <cp:lastPrinted>2019-09-04T23:45:00Z</cp:lastPrinted>
  <dcterms:modified xsi:type="dcterms:W3CDTF">2020-01-02T04:22:50Z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